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line="1200" w:lineRule="exact"/>
        <w:ind w:left="0" w:leftChars="0" w:firstLine="0" w:firstLineChars="0"/>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w:t>
      </w:r>
      <w:r>
        <w:rPr>
          <w:rFonts w:hint="eastAsia" w:eastAsia="仿宋_GB2312" w:cs="Times New Roman"/>
          <w:b w:val="0"/>
          <w:bCs w:val="0"/>
          <w:color w:val="auto"/>
          <w:sz w:val="32"/>
          <w:szCs w:val="32"/>
          <w:highlight w:val="none"/>
          <w:lang w:val="en-US" w:eastAsia="zh-CN"/>
        </w:rPr>
        <w:t>2023</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val="en-US" w:eastAsia="zh-CN"/>
        </w:rPr>
        <w:t>003</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bookmarkStart w:id="0" w:name="bookmark3"/>
      <w:r>
        <w:rPr>
          <w:rFonts w:hint="default" w:ascii="Times New Roman" w:hAnsi="Times New Roman" w:eastAsia="仿宋_GB2312" w:cs="Times New Roman"/>
          <w:color w:val="000000"/>
          <w:spacing w:val="0"/>
          <w:w w:val="100"/>
          <w:position w:val="0"/>
          <w:sz w:val="32"/>
          <w:szCs w:val="32"/>
          <w:highlight w:val="none"/>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国有建设用地使用权。现将有关事项公告如下：</w:t>
      </w:r>
    </w:p>
    <w:bookmarkEnd w:id="0"/>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sz w:val="32"/>
          <w:szCs w:val="32"/>
          <w:highlight w:val="none"/>
        </w:rPr>
      </w:pPr>
      <w:bookmarkStart w:id="1" w:name="bookmark6"/>
      <w:r>
        <w:rPr>
          <w:rFonts w:hint="default" w:ascii="Times New Roman" w:hAnsi="Times New Roman" w:eastAsia="黑体" w:cs="Times New Roman"/>
          <w:color w:val="000000"/>
          <w:spacing w:val="0"/>
          <w:w w:val="100"/>
          <w:position w:val="0"/>
          <w:sz w:val="32"/>
          <w:szCs w:val="32"/>
          <w:highlight w:val="none"/>
        </w:rPr>
        <w:t>一、网上挂牌出让地块基本情况及规划指标要求</w:t>
      </w:r>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 w:name="bookmark4"/>
      <w:r>
        <w:rPr>
          <w:rFonts w:hint="default" w:ascii="Times New Roman" w:hAnsi="Times New Roman" w:eastAsia="黑体" w:cs="Times New Roman"/>
          <w:color w:val="000000"/>
          <w:spacing w:val="0"/>
          <w:w w:val="100"/>
          <w:position w:val="0"/>
          <w:sz w:val="32"/>
          <w:szCs w:val="32"/>
          <w:highlight w:val="none"/>
        </w:rPr>
        <w:t>二</w:t>
      </w:r>
      <w:bookmarkEnd w:id="2"/>
      <w:r>
        <w:rPr>
          <w:rFonts w:hint="default" w:ascii="Times New Roman" w:hAnsi="Times New Roman" w:eastAsia="黑体" w:cs="Times New Roman"/>
          <w:color w:val="000000"/>
          <w:spacing w:val="0"/>
          <w:w w:val="100"/>
          <w:position w:val="0"/>
          <w:sz w:val="32"/>
          <w:szCs w:val="32"/>
          <w:highlight w:val="none"/>
        </w:rPr>
        <w:t>、挂牌起始价及加价幅度</w:t>
      </w:r>
      <w:bookmarkStart w:id="3" w:name="bookmark5"/>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三</w:t>
      </w:r>
      <w:bookmarkEnd w:id="3"/>
      <w:r>
        <w:rPr>
          <w:rFonts w:hint="default" w:ascii="Times New Roman" w:hAnsi="Times New Roman" w:eastAsia="黑体" w:cs="Times New Roman"/>
          <w:color w:val="000000"/>
          <w:spacing w:val="0"/>
          <w:w w:val="100"/>
          <w:position w:val="0"/>
          <w:sz w:val="32"/>
          <w:szCs w:val="32"/>
          <w:highlight w:val="none"/>
        </w:rPr>
        <w:t>、时间安排</w:t>
      </w:r>
    </w:p>
    <w:bookmarkEnd w:id="1"/>
    <w:p>
      <w:pPr>
        <w:pStyle w:val="7"/>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（一）公告时间：</w:t>
      </w:r>
      <w:r>
        <w:rPr>
          <w:rFonts w:hint="eastAsia" w:ascii="Times New Roman" w:hAnsi="Times New Roman" w:eastAsia="仿宋_GB2312" w:cs="Times New Roman"/>
          <w:color w:val="000000"/>
          <w:spacing w:val="0"/>
          <w:w w:val="100"/>
          <w:position w:val="0"/>
          <w:sz w:val="32"/>
          <w:szCs w:val="32"/>
          <w:highlight w:val="none"/>
          <w:lang w:val="en-US" w:eastAsia="zh-CN"/>
        </w:rPr>
        <w:t>2023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16</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6</w:t>
      </w:r>
      <w:r>
        <w:rPr>
          <w:rFonts w:hint="default" w:ascii="Times New Roman" w:hAnsi="Times New Roman" w:eastAsia="仿宋_GB2312" w:cs="Times New Roman"/>
          <w:color w:val="000000"/>
          <w:spacing w:val="0"/>
          <w:w w:val="100"/>
          <w:position w:val="0"/>
          <w:sz w:val="32"/>
          <w:szCs w:val="32"/>
          <w:highlight w:val="none"/>
        </w:rPr>
        <w:t>日。</w:t>
      </w:r>
    </w:p>
    <w:p>
      <w:pPr>
        <w:pStyle w:val="7"/>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6</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20</w:t>
      </w:r>
      <w:r>
        <w:rPr>
          <w:rFonts w:hint="default" w:ascii="Times New Roman" w:hAnsi="Times New Roman" w:eastAsia="仿宋_GB2312" w:cs="Times New Roman"/>
          <w:color w:val="000000"/>
          <w:spacing w:val="0"/>
          <w:w w:val="100"/>
          <w:position w:val="0"/>
          <w:sz w:val="32"/>
          <w:szCs w:val="32"/>
          <w:highlight w:val="none"/>
        </w:rPr>
        <w:t>日10时。</w:t>
      </w:r>
    </w:p>
    <w:p>
      <w:pPr>
        <w:pStyle w:val="7"/>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20</w:t>
      </w:r>
      <w:r>
        <w:rPr>
          <w:rFonts w:hint="default" w:ascii="Times New Roman" w:hAnsi="Times New Roman" w:eastAsia="仿宋_GB2312" w:cs="Times New Roman"/>
          <w:color w:val="000000"/>
          <w:spacing w:val="0"/>
          <w:w w:val="100"/>
          <w:position w:val="0"/>
          <w:sz w:val="32"/>
          <w:szCs w:val="32"/>
          <w:highlight w:val="none"/>
        </w:rPr>
        <w:t>日9时。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bookmarkStart w:id="4" w:name="bookmark9"/>
      <w:r>
        <w:rPr>
          <w:rFonts w:hint="default" w:ascii="Times New Roman" w:hAnsi="Times New Roman" w:eastAsia="黑体" w:cs="Times New Roman"/>
          <w:color w:val="000000"/>
          <w:spacing w:val="0"/>
          <w:w w:val="100"/>
          <w:position w:val="0"/>
          <w:sz w:val="32"/>
          <w:szCs w:val="32"/>
          <w:highlight w:val="none"/>
        </w:rPr>
        <w:t>四</w:t>
      </w:r>
      <w:bookmarkEnd w:id="4"/>
      <w:r>
        <w:rPr>
          <w:rFonts w:hint="default" w:ascii="Times New Roman" w:hAnsi="Times New Roman" w:eastAsia="黑体" w:cs="Times New Roman"/>
          <w:color w:val="000000"/>
          <w:spacing w:val="0"/>
          <w:w w:val="100"/>
          <w:position w:val="0"/>
          <w:sz w:val="32"/>
          <w:szCs w:val="32"/>
          <w:highlight w:val="none"/>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66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中华人民共和国境内外的法人和其他组织（除法律法规另有规定外）具备本条规定条件的，均可申请参加竞买。申请人可以单独申请，也可以联合申请，竞买申请人必须同时具备下列条件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20" w:lineRule="exact"/>
        <w:ind w:left="0" w:right="0" w:firstLine="640"/>
        <w:jc w:val="both"/>
        <w:textAlignment w:val="auto"/>
        <w:outlineLvl w:val="9"/>
        <w:rPr>
          <w:rFonts w:hint="default" w:ascii="Times New Roman" w:hAnsi="Times New Roman" w:eastAsia="仿宋_GB2312" w:cs="Times New Roman"/>
          <w:sz w:val="32"/>
          <w:szCs w:val="32"/>
          <w:highlight w:val="none"/>
        </w:rPr>
      </w:pPr>
      <w:bookmarkStart w:id="5" w:name="bookmark10"/>
      <w:r>
        <w:rPr>
          <w:rFonts w:hint="default" w:ascii="Times New Roman" w:hAnsi="Times New Roman" w:eastAsia="仿宋_GB2312" w:cs="Times New Roman"/>
          <w:color w:val="000000"/>
          <w:spacing w:val="0"/>
          <w:w w:val="100"/>
          <w:position w:val="0"/>
          <w:sz w:val="32"/>
          <w:szCs w:val="32"/>
          <w:highlight w:val="none"/>
        </w:rPr>
        <w:t>（</w:t>
      </w:r>
      <w:bookmarkEnd w:id="5"/>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缴纳足额</w:t>
      </w:r>
      <w:r>
        <w:rPr>
          <w:rFonts w:hint="default" w:ascii="Times New Roman" w:hAnsi="Times New Roman" w:eastAsia="仿宋_GB2312"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2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6" w:name="bookmark11"/>
      <w:r>
        <w:rPr>
          <w:rFonts w:hint="default" w:ascii="Times New Roman" w:hAnsi="Times New Roman" w:eastAsia="仿宋_GB2312" w:cs="Times New Roman"/>
          <w:color w:val="000000"/>
          <w:spacing w:val="0"/>
          <w:w w:val="100"/>
          <w:position w:val="0"/>
          <w:sz w:val="32"/>
          <w:szCs w:val="32"/>
          <w:highlight w:val="none"/>
        </w:rPr>
        <w:t>（</w:t>
      </w:r>
      <w:bookmarkEnd w:id="6"/>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五</w:t>
      </w:r>
      <w:r>
        <w:rPr>
          <w:rFonts w:hint="default" w:ascii="Times New Roman" w:hAnsi="Times New Roman" w:eastAsia="黑体"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7" w:name="bookmark18"/>
      <w:r>
        <w:rPr>
          <w:rFonts w:hint="default" w:ascii="Times New Roman" w:hAnsi="Times New Roman" w:eastAsia="仿宋_GB2312" w:cs="Times New Roman"/>
          <w:color w:val="000000"/>
          <w:spacing w:val="0"/>
          <w:w w:val="100"/>
          <w:position w:val="0"/>
          <w:sz w:val="32"/>
          <w:szCs w:val="32"/>
          <w:highlight w:val="none"/>
        </w:rPr>
        <w:t>（</w:t>
      </w:r>
      <w:bookmarkEnd w:id="7"/>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lang w:val="en-US" w:eastAsia="zh-CN"/>
        </w:rPr>
        <w:t>宗地块</w:t>
      </w:r>
      <w:r>
        <w:rPr>
          <w:rFonts w:hint="default" w:ascii="Times New Roman" w:hAnsi="Times New Roman" w:eastAsia="仿宋_GB2312" w:cs="Times New Roman"/>
          <w:color w:val="000000"/>
          <w:spacing w:val="0"/>
          <w:w w:val="100"/>
          <w:position w:val="0"/>
          <w:sz w:val="32"/>
          <w:szCs w:val="32"/>
          <w:highlight w:val="none"/>
        </w:rPr>
        <w:t>竞买保证金</w:t>
      </w:r>
      <w:r>
        <w:rPr>
          <w:rFonts w:hint="default" w:ascii="Times New Roman" w:hAnsi="Times New Roman" w:eastAsia="仿宋_GB2312" w:cs="Times New Roman"/>
          <w:color w:val="000000"/>
          <w:spacing w:val="0"/>
          <w:w w:val="100"/>
          <w:position w:val="0"/>
          <w:sz w:val="32"/>
          <w:szCs w:val="32"/>
          <w:highlight w:val="none"/>
          <w:lang w:val="en-US" w:eastAsia="zh-CN"/>
        </w:rPr>
        <w:t>详见附表</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8" w:name="bookmark19"/>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网上挂牌交易系统</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9" w:name="bookmark20"/>
      <w:r>
        <w:rPr>
          <w:rFonts w:hint="default" w:ascii="Times New Roman" w:hAnsi="Times New Roman" w:eastAsia="仿宋_GB2312" w:cs="Times New Roman"/>
          <w:color w:val="000000"/>
          <w:spacing w:val="0"/>
          <w:w w:val="100"/>
          <w:position w:val="0"/>
          <w:sz w:val="32"/>
          <w:szCs w:val="32"/>
          <w:highlight w:val="none"/>
        </w:rPr>
        <w:t>（</w:t>
      </w:r>
      <w:bookmarkEnd w:id="9"/>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六</w:t>
      </w:r>
      <w:r>
        <w:rPr>
          <w:rFonts w:hint="default" w:ascii="Times New Roman" w:hAnsi="Times New Roman" w:eastAsia="黑体" w:cs="Times New Roman"/>
          <w:color w:val="000000"/>
          <w:spacing w:val="0"/>
          <w:w w:val="100"/>
          <w:position w:val="0"/>
          <w:sz w:val="32"/>
          <w:szCs w:val="32"/>
          <w:highlight w:val="none"/>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七</w:t>
      </w:r>
      <w:r>
        <w:rPr>
          <w:rFonts w:hint="default" w:ascii="Times New Roman" w:hAnsi="Times New Roman" w:eastAsia="黑体" w:cs="Times New Roman"/>
          <w:color w:val="000000"/>
          <w:spacing w:val="0"/>
          <w:w w:val="100"/>
          <w:position w:val="0"/>
          <w:sz w:val="32"/>
          <w:szCs w:val="32"/>
          <w:highlight w:val="none"/>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八</w:t>
      </w:r>
      <w:r>
        <w:rPr>
          <w:rFonts w:hint="default" w:ascii="Times New Roman" w:hAnsi="Times New Roman" w:eastAsia="黑体" w:cs="Times New Roman"/>
          <w:color w:val="000000"/>
          <w:spacing w:val="0"/>
          <w:w w:val="100"/>
          <w:position w:val="0"/>
          <w:sz w:val="32"/>
          <w:szCs w:val="32"/>
          <w:highlight w:val="none"/>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九</w:t>
      </w:r>
      <w:r>
        <w:rPr>
          <w:rFonts w:hint="default" w:ascii="Times New Roman" w:hAnsi="Times New Roman" w:eastAsia="黑体" w:cs="Times New Roman"/>
          <w:color w:val="000000"/>
          <w:spacing w:val="0"/>
          <w:w w:val="100"/>
          <w:position w:val="0"/>
          <w:sz w:val="32"/>
          <w:szCs w:val="32"/>
          <w:highlight w:val="none"/>
        </w:rPr>
        <w:t>、资格审查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27</w:t>
      </w:r>
      <w:r>
        <w:rPr>
          <w:rFonts w:hint="default" w:ascii="Times New Roman" w:hAnsi="Times New Roman" w:eastAsia="仿宋_GB2312" w:cs="Times New Roman"/>
          <w:color w:val="000000"/>
          <w:spacing w:val="0"/>
          <w:w w:val="100"/>
          <w:position w:val="0"/>
          <w:sz w:val="32"/>
          <w:szCs w:val="32"/>
          <w:highlight w:val="none"/>
        </w:rPr>
        <w:t>日前确定符合竞买资格的成交候选人为竞得人。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成交候选人资格审查须提交下列材料</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均一式两份</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0" w:name="bookmark24"/>
      <w:r>
        <w:rPr>
          <w:rFonts w:hint="default" w:ascii="Times New Roman" w:hAnsi="Times New Roman" w:eastAsia="仿宋_GB2312" w:cs="Times New Roman"/>
          <w:color w:val="000000"/>
          <w:spacing w:val="0"/>
          <w:w w:val="100"/>
          <w:position w:val="0"/>
          <w:sz w:val="32"/>
          <w:szCs w:val="32"/>
          <w:highlight w:val="none"/>
        </w:rPr>
        <w:t>（</w:t>
      </w:r>
      <w:bookmarkEnd w:id="10"/>
      <w:r>
        <w:rPr>
          <w:rFonts w:hint="default" w:ascii="Times New Roman" w:hAnsi="Times New Roman" w:eastAsia="仿宋_GB2312" w:cs="Times New Roman"/>
          <w:color w:val="000000"/>
          <w:spacing w:val="0"/>
          <w:w w:val="100"/>
          <w:position w:val="0"/>
          <w:sz w:val="32"/>
          <w:szCs w:val="32"/>
          <w:highlight w:val="none"/>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1" w:name="bookmark25"/>
      <w:r>
        <w:rPr>
          <w:rFonts w:hint="default" w:ascii="Times New Roman" w:hAnsi="Times New Roman" w:eastAsia="仿宋_GB2312" w:cs="Times New Roman"/>
          <w:color w:val="000000"/>
          <w:spacing w:val="0"/>
          <w:w w:val="100"/>
          <w:position w:val="0"/>
          <w:sz w:val="32"/>
          <w:szCs w:val="32"/>
          <w:highlight w:val="none"/>
        </w:rPr>
        <w:t>（</w:t>
      </w:r>
      <w:bookmarkEnd w:id="11"/>
      <w:r>
        <w:rPr>
          <w:rFonts w:hint="default" w:ascii="Times New Roman" w:hAnsi="Times New Roman" w:eastAsia="仿宋_GB2312" w:cs="Times New Roman"/>
          <w:color w:val="000000"/>
          <w:spacing w:val="0"/>
          <w:w w:val="100"/>
          <w:position w:val="0"/>
          <w:sz w:val="32"/>
          <w:szCs w:val="32"/>
          <w:highlight w:val="none"/>
        </w:rPr>
        <w:t>二）《竞价结果通知书》（加盖公章）；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2" w:name="bookmark26"/>
      <w:r>
        <w:rPr>
          <w:rFonts w:hint="default" w:ascii="Times New Roman" w:hAnsi="Times New Roman" w:eastAsia="仿宋_GB2312" w:cs="Times New Roman"/>
          <w:color w:val="000000"/>
          <w:spacing w:val="0"/>
          <w:w w:val="100"/>
          <w:position w:val="0"/>
          <w:sz w:val="32"/>
          <w:szCs w:val="32"/>
          <w:highlight w:val="none"/>
        </w:rPr>
        <w:t>（</w:t>
      </w:r>
      <w:bookmarkEnd w:id="12"/>
      <w:r>
        <w:rPr>
          <w:rFonts w:hint="default" w:ascii="Times New Roman" w:hAnsi="Times New Roman" w:eastAsia="仿宋_GB2312" w:cs="Times New Roman"/>
          <w:color w:val="000000"/>
          <w:spacing w:val="0"/>
          <w:w w:val="100"/>
          <w:position w:val="0"/>
          <w:sz w:val="32"/>
          <w:szCs w:val="32"/>
          <w:highlight w:val="none"/>
        </w:rPr>
        <w:t>三）《竞买保证金到账通知书》（加盖公章）；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3" w:name="bookmark27"/>
      <w:r>
        <w:rPr>
          <w:rFonts w:hint="default" w:ascii="Times New Roman" w:hAnsi="Times New Roman" w:eastAsia="仿宋_GB2312" w:cs="Times New Roman"/>
          <w:color w:val="000000"/>
          <w:spacing w:val="0"/>
          <w:w w:val="100"/>
          <w:position w:val="0"/>
          <w:sz w:val="32"/>
          <w:szCs w:val="32"/>
          <w:highlight w:val="none"/>
        </w:rPr>
        <w:t>（</w:t>
      </w:r>
      <w:bookmarkEnd w:id="13"/>
      <w:r>
        <w:rPr>
          <w:rFonts w:hint="default" w:ascii="Times New Roman" w:hAnsi="Times New Roman" w:eastAsia="仿宋_GB2312" w:cs="Times New Roman"/>
          <w:color w:val="000000"/>
          <w:spacing w:val="0"/>
          <w:w w:val="100"/>
          <w:position w:val="0"/>
          <w:sz w:val="32"/>
          <w:szCs w:val="32"/>
          <w:highlight w:val="none"/>
        </w:rPr>
        <w:t>四）竞买保证金转账凭证复印件（加盖公章）；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4" w:name="bookmark28"/>
      <w:r>
        <w:rPr>
          <w:rFonts w:hint="default" w:ascii="Times New Roman" w:hAnsi="Times New Roman" w:eastAsia="仿宋_GB2312" w:cs="Times New Roman"/>
          <w:color w:val="000000"/>
          <w:spacing w:val="0"/>
          <w:w w:val="100"/>
          <w:position w:val="0"/>
          <w:sz w:val="32"/>
          <w:szCs w:val="32"/>
          <w:highlight w:val="none"/>
        </w:rPr>
        <w:t>（</w:t>
      </w:r>
      <w:bookmarkEnd w:id="14"/>
      <w:r>
        <w:rPr>
          <w:rFonts w:hint="default" w:ascii="Times New Roman" w:hAnsi="Times New Roman" w:eastAsia="仿宋_GB2312" w:cs="Times New Roman"/>
          <w:color w:val="000000"/>
          <w:spacing w:val="0"/>
          <w:w w:val="100"/>
          <w:position w:val="0"/>
          <w:sz w:val="32"/>
          <w:szCs w:val="32"/>
          <w:highlight w:val="none"/>
        </w:rPr>
        <w:t>五）申请竞买人有效的《营业执照》复印件（加盖公章）；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5" w:name="bookmark29"/>
      <w:r>
        <w:rPr>
          <w:rFonts w:hint="default" w:ascii="Times New Roman" w:hAnsi="Times New Roman" w:eastAsia="仿宋_GB2312" w:cs="Times New Roman"/>
          <w:color w:val="000000"/>
          <w:spacing w:val="0"/>
          <w:w w:val="100"/>
          <w:position w:val="0"/>
          <w:sz w:val="32"/>
          <w:szCs w:val="32"/>
          <w:highlight w:val="none"/>
        </w:rPr>
        <w:t>（</w:t>
      </w:r>
      <w:bookmarkEnd w:id="15"/>
      <w:r>
        <w:rPr>
          <w:rFonts w:hint="default" w:ascii="Times New Roman" w:hAnsi="Times New Roman" w:eastAsia="仿宋_GB2312" w:cs="Times New Roman"/>
          <w:color w:val="000000"/>
          <w:spacing w:val="0"/>
          <w:w w:val="100"/>
          <w:position w:val="0"/>
          <w:sz w:val="32"/>
          <w:szCs w:val="32"/>
          <w:highlight w:val="none"/>
        </w:rPr>
        <w:t>六）法定</w:t>
      </w:r>
      <w:bookmarkStart w:id="29" w:name="_GoBack"/>
      <w:bookmarkEnd w:id="29"/>
      <w:r>
        <w:rPr>
          <w:rFonts w:hint="default" w:ascii="Times New Roman" w:hAnsi="Times New Roman" w:eastAsia="仿宋_GB2312" w:cs="Times New Roman"/>
          <w:color w:val="000000"/>
          <w:spacing w:val="0"/>
          <w:w w:val="100"/>
          <w:position w:val="0"/>
          <w:sz w:val="32"/>
          <w:szCs w:val="32"/>
          <w:highlight w:val="none"/>
        </w:rPr>
        <w:t>代表人身份证复印件（加盖公章）；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16" w:name="bookmark30"/>
      <w:r>
        <w:rPr>
          <w:rFonts w:hint="default" w:ascii="Times New Roman" w:hAnsi="Times New Roman" w:eastAsia="仿宋_GB2312" w:cs="Times New Roman"/>
          <w:color w:val="000000"/>
          <w:spacing w:val="0"/>
          <w:w w:val="100"/>
          <w:position w:val="0"/>
          <w:sz w:val="32"/>
          <w:szCs w:val="32"/>
          <w:highlight w:val="none"/>
        </w:rPr>
        <w:t>（</w:t>
      </w:r>
      <w:bookmarkEnd w:id="16"/>
      <w:r>
        <w:rPr>
          <w:rFonts w:hint="default" w:ascii="Times New Roman" w:hAnsi="Times New Roman" w:eastAsia="仿宋_GB2312" w:cs="Times New Roman"/>
          <w:color w:val="000000"/>
          <w:spacing w:val="0"/>
          <w:w w:val="100"/>
          <w:position w:val="0"/>
          <w:sz w:val="32"/>
          <w:szCs w:val="32"/>
          <w:highlight w:val="none"/>
        </w:rPr>
        <w:t>七）授权他人代理的授权委托书及代理人身份证复印件（核对原件）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八</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一</w:t>
      </w:r>
      <w:r>
        <w:rPr>
          <w:rFonts w:hint="default" w:ascii="Times New Roman" w:hAnsi="Times New Roman" w:eastAsia="黑体" w:cs="Times New Roman"/>
          <w:color w:val="000000"/>
          <w:spacing w:val="0"/>
          <w:w w:val="100"/>
          <w:position w:val="0"/>
          <w:sz w:val="32"/>
          <w:szCs w:val="32"/>
          <w:highlight w:val="none"/>
        </w:rPr>
        <w:t>、竞买保证金退还或转付成交价款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竞得人签订《成交确认书》后，缴交的保证金中按成交价的20%转作定金</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二</w:t>
      </w:r>
      <w:r>
        <w:rPr>
          <w:rFonts w:hint="default" w:ascii="Times New Roman" w:hAnsi="Times New Roman" w:eastAsia="黑体" w:cs="Times New Roman"/>
          <w:color w:val="000000"/>
          <w:spacing w:val="0"/>
          <w:w w:val="100"/>
          <w:position w:val="0"/>
          <w:sz w:val="32"/>
          <w:szCs w:val="32"/>
          <w:highlight w:val="none"/>
        </w:rPr>
        <w:t>、违规责任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7" w:name="bookmark31"/>
      <w:r>
        <w:rPr>
          <w:rFonts w:hint="default" w:ascii="Times New Roman" w:hAnsi="Times New Roman" w:eastAsia="仿宋_GB2312" w:cs="Times New Roman"/>
          <w:color w:val="000000"/>
          <w:spacing w:val="0"/>
          <w:w w:val="100"/>
          <w:position w:val="0"/>
          <w:sz w:val="32"/>
          <w:szCs w:val="32"/>
          <w:highlight w:val="none"/>
        </w:rPr>
        <w:t>（</w:t>
      </w:r>
      <w:bookmarkEnd w:id="17"/>
      <w:r>
        <w:rPr>
          <w:rFonts w:hint="default" w:ascii="Times New Roman" w:hAnsi="Times New Roman" w:eastAsia="仿宋_GB2312" w:cs="Times New Roman"/>
          <w:color w:val="000000"/>
          <w:spacing w:val="0"/>
          <w:w w:val="100"/>
          <w:position w:val="0"/>
          <w:sz w:val="32"/>
          <w:szCs w:val="32"/>
          <w:highlight w:val="none"/>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8" w:name="bookmark32"/>
      <w:r>
        <w:rPr>
          <w:rFonts w:hint="default" w:ascii="Times New Roman" w:hAnsi="Times New Roman" w:eastAsia="仿宋_GB2312" w:cs="Times New Roman"/>
          <w:color w:val="000000"/>
          <w:spacing w:val="0"/>
          <w:w w:val="100"/>
          <w:position w:val="0"/>
          <w:sz w:val="32"/>
          <w:szCs w:val="32"/>
          <w:highlight w:val="none"/>
        </w:rPr>
        <w:t>（</w:t>
      </w:r>
      <w:bookmarkEnd w:id="18"/>
      <w:r>
        <w:rPr>
          <w:rFonts w:hint="default" w:ascii="Times New Roman" w:hAnsi="Times New Roman" w:eastAsia="仿宋_GB2312" w:cs="Times New Roman"/>
          <w:color w:val="000000"/>
          <w:spacing w:val="0"/>
          <w:w w:val="100"/>
          <w:position w:val="0"/>
          <w:sz w:val="32"/>
          <w:szCs w:val="32"/>
          <w:highlight w:val="none"/>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9" w:name="bookmark33"/>
      <w:r>
        <w:rPr>
          <w:rFonts w:hint="default" w:ascii="Times New Roman" w:hAnsi="Times New Roman" w:eastAsia="仿宋_GB2312" w:cs="Times New Roman"/>
          <w:color w:val="000000"/>
          <w:spacing w:val="0"/>
          <w:w w:val="100"/>
          <w:position w:val="0"/>
          <w:sz w:val="32"/>
          <w:szCs w:val="32"/>
          <w:highlight w:val="none"/>
        </w:rPr>
        <w:t>（</w:t>
      </w:r>
      <w:bookmarkEnd w:id="19"/>
      <w:r>
        <w:rPr>
          <w:rFonts w:hint="default" w:ascii="Times New Roman" w:hAnsi="Times New Roman" w:eastAsia="仿宋_GB2312" w:cs="Times New Roman"/>
          <w:color w:val="000000"/>
          <w:spacing w:val="0"/>
          <w:w w:val="100"/>
          <w:position w:val="0"/>
          <w:sz w:val="32"/>
          <w:szCs w:val="32"/>
          <w:highlight w:val="none"/>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0" w:name="bookmark34"/>
      <w:r>
        <w:rPr>
          <w:rFonts w:hint="default" w:ascii="Times New Roman" w:hAnsi="Times New Roman" w:eastAsia="仿宋_GB2312" w:cs="Times New Roman"/>
          <w:color w:val="000000"/>
          <w:spacing w:val="0"/>
          <w:w w:val="100"/>
          <w:position w:val="0"/>
          <w:sz w:val="32"/>
          <w:szCs w:val="32"/>
          <w:highlight w:val="none"/>
        </w:rPr>
        <w:t>（</w:t>
      </w:r>
      <w:bookmarkEnd w:id="20"/>
      <w:r>
        <w:rPr>
          <w:rFonts w:hint="default" w:ascii="Times New Roman" w:hAnsi="Times New Roman" w:eastAsia="仿宋_GB2312" w:cs="Times New Roman"/>
          <w:color w:val="000000"/>
          <w:spacing w:val="0"/>
          <w:w w:val="100"/>
          <w:position w:val="0"/>
          <w:sz w:val="32"/>
          <w:szCs w:val="32"/>
          <w:highlight w:val="none"/>
        </w:rPr>
        <w:t>四）无正当理由逾期或拒绝签订成交确认书的</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三</w:t>
      </w:r>
      <w:r>
        <w:rPr>
          <w:rFonts w:hint="default" w:ascii="Times New Roman" w:hAnsi="Times New Roman" w:eastAsia="黑体" w:cs="Times New Roman"/>
          <w:color w:val="000000"/>
          <w:spacing w:val="0"/>
          <w:w w:val="100"/>
          <w:position w:val="0"/>
          <w:sz w:val="32"/>
          <w:szCs w:val="32"/>
          <w:highlight w:val="none"/>
        </w:rPr>
        <w:t>、其他需要公告的事项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1" w:name="bookmark35"/>
      <w:r>
        <w:rPr>
          <w:rFonts w:hint="default" w:ascii="Times New Roman" w:hAnsi="Times New Roman" w:eastAsia="仿宋_GB2312" w:cs="Times New Roman"/>
          <w:color w:val="000000"/>
          <w:spacing w:val="0"/>
          <w:w w:val="100"/>
          <w:position w:val="0"/>
          <w:sz w:val="32"/>
          <w:szCs w:val="32"/>
          <w:highlight w:val="none"/>
        </w:rPr>
        <w:t>（</w:t>
      </w:r>
      <w:bookmarkEnd w:id="21"/>
      <w:r>
        <w:rPr>
          <w:rFonts w:hint="default" w:ascii="Times New Roman" w:hAnsi="Times New Roman" w:eastAsia="仿宋_GB2312" w:cs="Times New Roman"/>
          <w:color w:val="000000"/>
          <w:spacing w:val="0"/>
          <w:w w:val="100"/>
          <w:position w:val="0"/>
          <w:sz w:val="32"/>
          <w:szCs w:val="32"/>
          <w:highlight w:val="none"/>
        </w:rPr>
        <w:t>一）本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宗地网上挂牌出让的详细资料和具体要求，见网上挂牌交易系统。申请人可在网上挂牌交易系统下载挂牌出让公告、须知及相关交易文件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2" w:name="bookmark36"/>
      <w:r>
        <w:rPr>
          <w:rFonts w:hint="default" w:ascii="Times New Roman" w:hAnsi="Times New Roman" w:eastAsia="仿宋_GB2312" w:cs="Times New Roman"/>
          <w:color w:val="000000"/>
          <w:spacing w:val="0"/>
          <w:w w:val="100"/>
          <w:position w:val="0"/>
          <w:sz w:val="32"/>
          <w:szCs w:val="32"/>
          <w:highlight w:val="none"/>
          <w:lang w:val="zh-CN" w:eastAsia="zh-CN"/>
        </w:rPr>
        <w:t>（</w:t>
      </w:r>
      <w:bookmarkEnd w:id="22"/>
      <w:r>
        <w:rPr>
          <w:rFonts w:hint="default" w:ascii="Times New Roman" w:hAnsi="Times New Roman" w:eastAsia="仿宋_GB2312" w:cs="Times New Roman"/>
          <w:color w:val="000000"/>
          <w:spacing w:val="0"/>
          <w:w w:val="100"/>
          <w:position w:val="0"/>
          <w:sz w:val="32"/>
          <w:szCs w:val="32"/>
          <w:highlight w:val="none"/>
        </w:rPr>
        <w:t>二）有意竞买者可以自行到地块现场踏勘（可在网上挂牌交易系统查阅用地红线图）</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b w:val="0"/>
          <w:i w:val="0"/>
          <w:caps w:val="0"/>
          <w:spacing w:val="0"/>
          <w:w w:val="100"/>
          <w:kern w:val="2"/>
          <w:sz w:val="32"/>
          <w:szCs w:val="32"/>
          <w:lang w:val="en-US" w:eastAsia="zh-CN" w:bidi="ar-SA"/>
        </w:rPr>
        <w:t>（</w:t>
      </w:r>
      <w:r>
        <w:rPr>
          <w:rFonts w:hint="eastAsia" w:ascii="Times New Roman" w:hAnsi="Times New Roman" w:eastAsia="仿宋_GB2312" w:cs="Times New Roman"/>
          <w:b w:val="0"/>
          <w:i w:val="0"/>
          <w:caps w:val="0"/>
          <w:spacing w:val="0"/>
          <w:w w:val="100"/>
          <w:kern w:val="2"/>
          <w:sz w:val="32"/>
          <w:szCs w:val="32"/>
          <w:lang w:val="en-US" w:eastAsia="zh-CN" w:bidi="ar-SA"/>
        </w:rPr>
        <w:t>三</w:t>
      </w:r>
      <w:r>
        <w:rPr>
          <w:rFonts w:hint="default" w:ascii="Times New Roman" w:hAnsi="Times New Roman" w:eastAsia="仿宋_GB2312" w:cs="Times New Roman"/>
          <w:b w:val="0"/>
          <w:i w:val="0"/>
          <w:caps w:val="0"/>
          <w:spacing w:val="0"/>
          <w:w w:val="100"/>
          <w:kern w:val="2"/>
          <w:sz w:val="32"/>
          <w:szCs w:val="32"/>
          <w:lang w:val="en-US" w:eastAsia="zh-CN" w:bidi="ar-SA"/>
        </w:rPr>
        <w:t>）地块周边基础设施已基本配套，具备动工建设所必需的条件；</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3" w:name="bookmark37"/>
      <w:r>
        <w:rPr>
          <w:rFonts w:hint="default" w:ascii="Times New Roman" w:hAnsi="Times New Roman" w:eastAsia="仿宋_GB2312" w:cs="Times New Roman"/>
          <w:color w:val="000000"/>
          <w:spacing w:val="0"/>
          <w:w w:val="100"/>
          <w:position w:val="0"/>
          <w:sz w:val="32"/>
          <w:szCs w:val="32"/>
          <w:highlight w:val="none"/>
        </w:rPr>
        <w:t>（</w:t>
      </w:r>
      <w:bookmarkEnd w:id="23"/>
      <w:r>
        <w:rPr>
          <w:rFonts w:hint="eastAsia" w:ascii="Times New Roman" w:hAnsi="Times New Roman" w:eastAsia="仿宋_GB2312" w:cs="Times New Roman"/>
          <w:color w:val="000000"/>
          <w:spacing w:val="0"/>
          <w:w w:val="100"/>
          <w:position w:val="0"/>
          <w:sz w:val="32"/>
          <w:szCs w:val="32"/>
          <w:highlight w:val="none"/>
          <w:lang w:val="en-US" w:eastAsia="zh-CN"/>
        </w:rPr>
        <w:t>四</w:t>
      </w:r>
      <w:r>
        <w:rPr>
          <w:rFonts w:hint="default" w:ascii="Times New Roman" w:hAnsi="Times New Roman" w:eastAsia="仿宋_GB2312" w:cs="Times New Roman"/>
          <w:color w:val="000000"/>
          <w:spacing w:val="0"/>
          <w:w w:val="100"/>
          <w:position w:val="0"/>
          <w:sz w:val="32"/>
          <w:szCs w:val="32"/>
          <w:highlight w:val="none"/>
        </w:rPr>
        <w:t>）竞买申请一经受理确认后，即视为竞买人对网上挂牌出让公告、须知、相关交易文件及地块现状无异议并全部接受，并对有关承诺承担法律责任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4" w:name="bookmark14"/>
      <w:bookmarkStart w:id="25" w:name="bookmark38"/>
      <w:r>
        <w:rPr>
          <w:rFonts w:hint="default" w:ascii="Times New Roman" w:hAnsi="Times New Roman" w:eastAsia="仿宋_GB2312" w:cs="Times New Roman"/>
          <w:color w:val="000000"/>
          <w:spacing w:val="0"/>
          <w:w w:val="100"/>
          <w:position w:val="0"/>
          <w:sz w:val="32"/>
          <w:szCs w:val="32"/>
          <w:highlight w:val="none"/>
        </w:rPr>
        <w:t>（</w:t>
      </w:r>
      <w:bookmarkEnd w:id="24"/>
      <w:r>
        <w:rPr>
          <w:rFonts w:hint="eastAsia"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w:t>
      </w:r>
      <w:bookmarkEnd w:id="26"/>
      <w:r>
        <w:rPr>
          <w:rFonts w:hint="eastAsia" w:ascii="Times New Roman" w:hAnsi="Times New Roman" w:eastAsia="仿宋_GB2312" w:cs="Times New Roman"/>
          <w:color w:val="000000"/>
          <w:spacing w:val="0"/>
          <w:w w:val="100"/>
          <w:position w:val="0"/>
          <w:sz w:val="32"/>
          <w:szCs w:val="32"/>
          <w:highlight w:val="none"/>
          <w:lang w:val="en-US" w:eastAsia="zh-CN"/>
        </w:rPr>
        <w:t>六</w:t>
      </w:r>
      <w:r>
        <w:rPr>
          <w:rFonts w:hint="default" w:ascii="Times New Roman" w:hAnsi="Times New Roman" w:eastAsia="仿宋_GB2312" w:cs="Times New Roman"/>
          <w:color w:val="000000"/>
          <w:spacing w:val="0"/>
          <w:w w:val="100"/>
          <w:position w:val="0"/>
          <w:sz w:val="32"/>
          <w:szCs w:val="32"/>
          <w:highlight w:val="none"/>
        </w:rPr>
        <w:t>）竞得人除缴交成交地价款外，还需按规定缴交契税等有关税费；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yellow"/>
          <w:lang w:val="en-US" w:eastAsia="zh-CN"/>
        </w:rPr>
      </w:pPr>
      <w:bookmarkStart w:id="27" w:name="bookmark15"/>
      <w:r>
        <w:rPr>
          <w:rFonts w:hint="default" w:ascii="Times New Roman" w:hAnsi="Times New Roman" w:eastAsia="仿宋_GB2312" w:cs="Times New Roman"/>
          <w:color w:val="000000"/>
          <w:spacing w:val="0"/>
          <w:w w:val="100"/>
          <w:position w:val="0"/>
          <w:sz w:val="32"/>
          <w:szCs w:val="32"/>
          <w:highlight w:val="none"/>
        </w:rPr>
        <w:t>（</w:t>
      </w:r>
      <w:bookmarkEnd w:id="27"/>
      <w:r>
        <w:rPr>
          <w:rFonts w:hint="eastAsia" w:ascii="Times New Roman" w:hAnsi="Times New Roman" w:eastAsia="仿宋_GB2312" w:cs="Times New Roman"/>
          <w:color w:val="000000"/>
          <w:spacing w:val="0"/>
          <w:w w:val="100"/>
          <w:position w:val="0"/>
          <w:sz w:val="32"/>
          <w:szCs w:val="32"/>
          <w:highlight w:val="none"/>
          <w:lang w:val="en-US" w:eastAsia="zh-CN"/>
        </w:rPr>
        <w:t>七</w:t>
      </w:r>
      <w:r>
        <w:rPr>
          <w:rFonts w:hint="default" w:ascii="Times New Roman" w:hAnsi="Times New Roman" w:eastAsia="仿宋_GB2312" w:cs="Times New Roman"/>
          <w:color w:val="000000"/>
          <w:spacing w:val="0"/>
          <w:w w:val="100"/>
          <w:position w:val="0"/>
          <w:sz w:val="32"/>
          <w:szCs w:val="32"/>
          <w:highlight w:val="none"/>
        </w:rPr>
        <w:t>）竞得人须在签订《国有建设用地使用权出让合同》（以下简称</w:t>
      </w:r>
      <w:r>
        <w:rPr>
          <w:rFonts w:hint="eastAsia" w:ascii="Times New Roman" w:hAnsi="Times New Roman" w:eastAsia="仿宋_GB2312" w:cs="Times New Roman"/>
          <w:color w:val="000000"/>
          <w:spacing w:val="0"/>
          <w:w w:val="100"/>
          <w:position w:val="0"/>
          <w:sz w:val="32"/>
          <w:szCs w:val="32"/>
          <w:highlight w:val="none"/>
          <w:lang w:val="zh-CN" w:eastAsia="zh-CN"/>
        </w:rPr>
        <w:t>“《出让合同》”</w:t>
      </w:r>
      <w:r>
        <w:rPr>
          <w:rFonts w:hint="default" w:ascii="Times New Roman" w:hAnsi="Times New Roman" w:eastAsia="仿宋_GB2312" w:cs="Times New Roman"/>
          <w:color w:val="000000"/>
          <w:spacing w:val="0"/>
          <w:w w:val="100"/>
          <w:position w:val="0"/>
          <w:sz w:val="32"/>
          <w:szCs w:val="32"/>
          <w:highlight w:val="none"/>
        </w:rPr>
        <w:t>）时，提交惠州仲恺高新技术产业开发区科技创新局出具的与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宗地产业类型一致的优先发展产业项目文件</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各宗地开发及使用规定</w:t>
      </w:r>
      <w:r>
        <w:rPr>
          <w:rFonts w:hint="eastAsia" w:ascii="Times New Roman" w:hAnsi="Times New Roman" w:eastAsia="仿宋_GB2312" w:cs="Times New Roman"/>
          <w:color w:val="000000"/>
          <w:spacing w:val="0"/>
          <w:w w:val="100"/>
          <w:position w:val="0"/>
          <w:sz w:val="32"/>
          <w:szCs w:val="32"/>
          <w:highlight w:val="none"/>
          <w:lang w:val="en-US" w:eastAsia="zh-CN"/>
        </w:rPr>
        <w:t>详见附表（挂牌起始价及地块规划建设要求等主要指标附表）</w:t>
      </w:r>
      <w:bookmarkStart w:id="28" w:name="bookmark16"/>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eastAsia" w:ascii="Times New Roman" w:hAnsi="Times New Roman" w:eastAsia="仿宋_GB2312" w:cs="Times New Roman"/>
          <w:color w:val="000000"/>
          <w:spacing w:val="0"/>
          <w:w w:val="100"/>
          <w:position w:val="0"/>
          <w:sz w:val="32"/>
          <w:szCs w:val="32"/>
          <w:highlight w:val="none"/>
          <w:lang w:eastAsia="zh-CN"/>
        </w:rPr>
        <w:t>挂牌编号为惠仲土（用地）挂[2023]004号的宗地，</w:t>
      </w:r>
      <w:r>
        <w:rPr>
          <w:rFonts w:hint="eastAsia" w:ascii="Times New Roman" w:hAnsi="Times New Roman" w:eastAsia="仿宋_GB2312" w:cs="Times New Roman"/>
          <w:color w:val="000000"/>
          <w:spacing w:val="0"/>
          <w:w w:val="100"/>
          <w:position w:val="0"/>
          <w:sz w:val="32"/>
          <w:szCs w:val="32"/>
          <w:highlight w:val="none"/>
          <w:lang w:val="en-US" w:eastAsia="zh-CN"/>
        </w:rPr>
        <w:t>需</w:t>
      </w:r>
      <w:r>
        <w:rPr>
          <w:rFonts w:hint="eastAsia" w:ascii="Times New Roman" w:hAnsi="Times New Roman" w:eastAsia="仿宋_GB2312" w:cs="Times New Roman"/>
          <w:color w:val="000000"/>
          <w:spacing w:val="0"/>
          <w:w w:val="100"/>
          <w:position w:val="0"/>
          <w:sz w:val="32"/>
          <w:szCs w:val="32"/>
          <w:highlight w:val="none"/>
          <w:lang w:eastAsia="zh-CN"/>
        </w:rPr>
        <w:t>同步提交与相关部门签订的《仲恺高新区产业项目投资建设协议书》；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rPr>
        <w:t>）地块动工竣工时间及地块交付时间</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rPr>
        <w:t>《出让合同》签订之日交付土地；</w:t>
      </w:r>
      <w:r>
        <w:rPr>
          <w:rFonts w:hint="eastAsia" w:ascii="Times New Roman" w:hAnsi="Times New Roman" w:eastAsia="仿宋_GB2312" w:cs="Times New Roman"/>
          <w:color w:val="000000"/>
          <w:spacing w:val="0"/>
          <w:w w:val="100"/>
          <w:position w:val="0"/>
          <w:sz w:val="32"/>
          <w:szCs w:val="32"/>
          <w:lang w:val="en-US" w:eastAsia="zh-CN"/>
        </w:rPr>
        <w:t>其中，挂牌编号为惠仲土（用地）挂[2023]004号的宗地，</w:t>
      </w:r>
      <w:r>
        <w:rPr>
          <w:rFonts w:hint="default" w:ascii="Times New Roman" w:hAnsi="Times New Roman" w:eastAsia="仿宋_GB2312" w:cs="Times New Roman"/>
          <w:color w:val="000000"/>
          <w:spacing w:val="0"/>
          <w:w w:val="100"/>
          <w:position w:val="0"/>
          <w:sz w:val="32"/>
          <w:szCs w:val="32"/>
        </w:rPr>
        <w:t>动</w:t>
      </w:r>
      <w:r>
        <w:rPr>
          <w:rFonts w:hint="default" w:ascii="Times New Roman" w:hAnsi="Times New Roman" w:eastAsia="仿宋_GB2312" w:cs="Times New Roman"/>
          <w:color w:val="000000"/>
          <w:spacing w:val="0"/>
          <w:w w:val="100"/>
          <w:position w:val="0"/>
          <w:sz w:val="32"/>
          <w:szCs w:val="32"/>
          <w:highlight w:val="none"/>
        </w:rPr>
        <w:t>、竣工时间按《仲恺高新区产业项目投资建设协议书》执行</w:t>
      </w:r>
      <w:r>
        <w:rPr>
          <w:rFonts w:hint="default"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挂牌编号为惠仲土（用地）挂[2023]005号的宗地，动工时间为土地交付之日起2个月内，竣工时间为土地交付之日起2年内；</w:t>
      </w:r>
    </w:p>
    <w:bookmarkEnd w:id="28"/>
    <w:p>
      <w:pPr>
        <w:pStyle w:val="7"/>
        <w:keepNext w:val="0"/>
        <w:keepLines w:val="0"/>
        <w:pageBreakBefore w:val="0"/>
        <w:widowControl w:val="0"/>
        <w:numPr>
          <w:ilvl w:val="0"/>
          <w:numId w:val="1"/>
        </w:numPr>
        <w:shd w:val="clear" w:color="auto" w:fill="auto"/>
        <w:tabs>
          <w:tab w:val="left" w:pos="1283"/>
        </w:tabs>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挂牌编号为惠仲土（用地）挂[2023]004号的宗地，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w:t>
      </w:r>
      <w:r>
        <w:rPr>
          <w:rFonts w:hint="default" w:ascii="Times New Roman" w:hAnsi="Times New Roman" w:eastAsia="仿宋_GB2312" w:cs="Times New Roman"/>
          <w:color w:val="000000"/>
          <w:spacing w:val="0"/>
          <w:w w:val="100"/>
          <w:position w:val="0"/>
          <w:sz w:val="32"/>
          <w:szCs w:val="32"/>
          <w:highlight w:val="none"/>
        </w:rPr>
        <w:t>期日应以国土资源主管部门依法受理补缴地价申请时点为准；《仲恺高新区产业项目投资建设协议书》的后续监管职责由</w:t>
      </w:r>
      <w:r>
        <w:rPr>
          <w:rFonts w:hint="default" w:ascii="Times New Roman" w:hAnsi="Times New Roman" w:eastAsia="仿宋_GB2312" w:cs="Times New Roman"/>
          <w:color w:val="000000"/>
          <w:spacing w:val="0"/>
          <w:w w:val="100"/>
          <w:position w:val="0"/>
          <w:sz w:val="32"/>
          <w:szCs w:val="32"/>
          <w:highlight w:val="none"/>
          <w:lang w:val="en-US" w:eastAsia="zh-CN"/>
        </w:rPr>
        <w:t>相关部门</w:t>
      </w:r>
      <w:r>
        <w:rPr>
          <w:rFonts w:hint="default" w:ascii="Times New Roman" w:hAnsi="Times New Roman" w:eastAsia="仿宋_GB2312" w:cs="Times New Roman"/>
          <w:color w:val="000000"/>
          <w:spacing w:val="0"/>
          <w:w w:val="100"/>
          <w:position w:val="0"/>
          <w:sz w:val="32"/>
          <w:szCs w:val="32"/>
          <w:highlight w:val="none"/>
        </w:rPr>
        <w:t>负责对竞得人履行</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numPr>
          <w:ilvl w:val="0"/>
          <w:numId w:val="1"/>
        </w:numPr>
        <w:shd w:val="clear" w:color="auto" w:fill="auto"/>
        <w:tabs>
          <w:tab w:val="left" w:pos="1283"/>
        </w:tabs>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lang w:eastAsia="zh-CN"/>
        </w:rPr>
        <w:t>挂牌编号为惠仲土（用地）挂[2023]005号的宗地项目未达到本公告规定的集约用地指标或者非优先发展产业的，用地单位必须按《出让合同》的约定补缴土地出让金及缴交违约金，补缴土地出让金由仲恺高新区国土资源分局委托评估机构进行评估确定，估价期日应以国土资源主管部门依法受理补缴地价申请时点为准；由惠州潼湖生态智慧区管理委员会负责对竞得人履行后续监管职责</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十一</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地</w:t>
      </w:r>
      <w:r>
        <w:rPr>
          <w:rFonts w:hint="default" w:ascii="Times New Roman" w:hAnsi="Times New Roman" w:eastAsia="仿宋_GB2312" w:cs="Times New Roman"/>
          <w:color w:val="000000"/>
          <w:spacing w:val="0"/>
          <w:w w:val="100"/>
          <w:position w:val="0"/>
          <w:sz w:val="32"/>
          <w:szCs w:val="32"/>
          <w:highlight w:val="none"/>
          <w:lang w:val="en-US" w:eastAsia="zh-CN"/>
        </w:rPr>
        <w:t>设计方案应满足《规划设计条件告知书》要求，而《规划设计条件告知书》未明确的相关内容应符合现行国家、省、市有关的法律、法规、技术规范标准和政策等规定；</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十</w:t>
      </w:r>
      <w:r>
        <w:rPr>
          <w:rFonts w:hint="eastAsia" w:ascii="Times New Roman" w:hAnsi="Times New Roman" w:eastAsia="仿宋_GB2312" w:cs="Times New Roman"/>
          <w:color w:val="000000"/>
          <w:spacing w:val="0"/>
          <w:w w:val="100"/>
          <w:position w:val="0"/>
          <w:sz w:val="32"/>
          <w:szCs w:val="32"/>
          <w:highlight w:val="none"/>
          <w:lang w:val="en-US" w:eastAsia="zh-CN"/>
        </w:rPr>
        <w:t>二</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十四</w:t>
      </w:r>
      <w:r>
        <w:rPr>
          <w:rFonts w:hint="default" w:ascii="Times New Roman" w:hAnsi="Times New Roman" w:eastAsia="黑体" w:cs="Times New Roman"/>
          <w:color w:val="000000"/>
          <w:spacing w:val="0"/>
          <w:w w:val="100"/>
          <w:position w:val="0"/>
          <w:sz w:val="32"/>
          <w:szCs w:val="32"/>
          <w:highlight w:val="none"/>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w:t>
      </w:r>
      <w:r>
        <w:rPr>
          <w:rFonts w:hint="eastAsia" w:ascii="Times New Roman" w:hAnsi="Times New Roman" w:eastAsia="仿宋_GB2312" w:cs="Times New Roman"/>
          <w:color w:val="000000"/>
          <w:spacing w:val="0"/>
          <w:w w:val="100"/>
          <w:position w:val="0"/>
          <w:sz w:val="32"/>
          <w:szCs w:val="32"/>
          <w:highlight w:val="none"/>
          <w:lang w:val="en-US" w:eastAsia="zh-CN"/>
        </w:rPr>
        <w:t>欧阳先生、游女士</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01</w:t>
      </w:r>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36</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联系人：汪先生</w:t>
      </w:r>
      <w:r>
        <w:rPr>
          <w:rFonts w:hint="eastAsia" w:ascii="Times New Roman" w:hAnsi="Times New Roman" w:eastAsia="仿宋_GB2312" w:cs="Times New Roman"/>
          <w:color w:val="000000"/>
          <w:spacing w:val="0"/>
          <w:w w:val="100"/>
          <w:position w:val="0"/>
          <w:sz w:val="32"/>
          <w:szCs w:val="32"/>
          <w:highlight w:val="none"/>
          <w:lang w:val="en-US" w:eastAsia="zh-CN"/>
        </w:rPr>
        <w:t xml:space="preserve"> </w:t>
      </w:r>
      <w:r>
        <w:rPr>
          <w:rFonts w:hint="default" w:ascii="Times New Roman" w:hAnsi="Times New Roman" w:eastAsia="仿宋_GB2312" w:cs="Times New Roman"/>
          <w:color w:val="000000"/>
          <w:spacing w:val="0"/>
          <w:w w:val="100"/>
          <w:position w:val="0"/>
          <w:sz w:val="32"/>
          <w:szCs w:val="32"/>
          <w:highlight w:val="none"/>
          <w:lang w:val="en-US" w:eastAsia="zh-CN"/>
        </w:rPr>
        <w:t>房</w:t>
      </w:r>
      <w:r>
        <w:rPr>
          <w:rFonts w:hint="eastAsia" w:ascii="Times New Roman" w:hAnsi="Times New Roman" w:eastAsia="仿宋_GB2312" w:cs="Times New Roman"/>
          <w:color w:val="000000"/>
          <w:spacing w:val="0"/>
          <w:w w:val="100"/>
          <w:position w:val="0"/>
          <w:sz w:val="32"/>
          <w:szCs w:val="32"/>
          <w:highlight w:val="none"/>
          <w:lang w:val="en-US" w:eastAsia="zh-CN"/>
        </w:rPr>
        <w:t>女士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欧阳</w:t>
      </w:r>
      <w:r>
        <w:rPr>
          <w:rFonts w:hint="eastAsia" w:ascii="Times New Roman" w:hAnsi="Times New Roman" w:eastAsia="仿宋_GB2312" w:cs="Times New Roman"/>
          <w:color w:val="000000"/>
          <w:spacing w:val="0"/>
          <w:w w:val="100"/>
          <w:position w:val="0"/>
          <w:sz w:val="32"/>
          <w:szCs w:val="32"/>
          <w:highlight w:val="none"/>
          <w:lang w:val="en-US" w:eastAsia="zh-CN"/>
        </w:rPr>
        <w:t>先生</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en-US"/>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2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w:t>
      </w:r>
      <w:r>
        <w:rPr>
          <w:rFonts w:hint="eastAsia" w:eastAsia="仿宋_GB2312" w:cs="Times New Roman"/>
          <w:b w:val="0"/>
          <w:bCs w:val="0"/>
          <w:color w:val="auto"/>
          <w:sz w:val="32"/>
          <w:szCs w:val="32"/>
          <w:highlight w:val="none"/>
          <w:lang w:val="en-US" w:eastAsia="zh-CN"/>
        </w:rPr>
        <w:t>2023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16</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pPr>
    </w:p>
    <w:p>
      <w:pPr>
        <w:pStyle w:val="5"/>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3"/>
        <w:tblpPr w:leftFromText="180" w:rightFromText="180" w:vertAnchor="text" w:horzAnchor="page" w:tblpX="727"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569"/>
        <w:gridCol w:w="732"/>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709"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69"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32"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487"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4610" w:type="dxa"/>
            <w:gridSpan w:val="6"/>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14"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714"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43"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670"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72"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773"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230"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c>
          <w:tcPr>
            <w:tcW w:w="1095"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产业项目协议书签订部门</w:t>
            </w:r>
          </w:p>
        </w:tc>
        <w:tc>
          <w:tcPr>
            <w:tcW w:w="1095" w:type="dxa"/>
            <w:vMerge w:val="restart"/>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09"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69"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2"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487" w:type="dxa"/>
            <w:vMerge w:val="continue"/>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6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5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100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55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74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714"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14"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43"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70"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2"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3"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230"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95"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95" w:type="dxa"/>
            <w:vMerge w:val="continue"/>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cs="Times New Roman"/>
                <w:b w:val="0"/>
                <w:bCs w:val="0"/>
                <w:color w:val="auto"/>
                <w:sz w:val="18"/>
                <w:szCs w:val="18"/>
                <w:highlight w:val="none"/>
                <w:vertAlign w:val="baseline"/>
                <w:lang w:val="en-US" w:eastAsia="zh-CN"/>
              </w:rPr>
              <w:t>004</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惠州仲恺高新区惠环西坑片区</w:t>
            </w:r>
          </w:p>
        </w:tc>
        <w:tc>
          <w:tcPr>
            <w:tcW w:w="56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sz w:val="18"/>
                <w:szCs w:val="18"/>
                <w:highlight w:val="none"/>
                <w:lang w:val="en-US" w:eastAsia="zh-CN"/>
              </w:rPr>
              <w:t>ZKA-090-02-01-01</w:t>
            </w:r>
          </w:p>
        </w:tc>
        <w:tc>
          <w:tcPr>
            <w:tcW w:w="732"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29082（其中使用权面积为20701</w:t>
            </w:r>
            <w:r>
              <w:rPr>
                <w:rFonts w:hint="eastAsia"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w:t>
            </w:r>
          </w:p>
        </w:tc>
        <w:tc>
          <w:tcPr>
            <w:tcW w:w="48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6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cs="Times New Roman"/>
                <w:color w:val="auto"/>
                <w:sz w:val="18"/>
                <w:szCs w:val="18"/>
                <w:highlight w:val="none"/>
                <w:lang w:val="en-US" w:eastAsia="zh-CN"/>
              </w:rPr>
              <w:t>29082</w:t>
            </w:r>
          </w:p>
        </w:tc>
        <w:tc>
          <w:tcPr>
            <w:tcW w:w="75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cs="Times New Roman"/>
                <w:color w:val="auto"/>
                <w:sz w:val="18"/>
                <w:szCs w:val="18"/>
                <w:highlight w:val="none"/>
                <w:lang w:val="en-US" w:eastAsia="zh-CN"/>
              </w:rPr>
              <w:t>1.2</w:t>
            </w:r>
            <w:r>
              <w:rPr>
                <w:rFonts w:hint="default" w:ascii="Times New Roman" w:hAnsi="Times New Roman" w:eastAsia="宋体" w:cs="Times New Roman"/>
                <w:color w:val="auto"/>
                <w:sz w:val="18"/>
                <w:szCs w:val="18"/>
                <w:highlight w:val="none"/>
                <w:lang w:val="en-US" w:eastAsia="zh-CN"/>
              </w:rPr>
              <w:t>≤R≤</w:t>
            </w:r>
            <w:r>
              <w:rPr>
                <w:rFonts w:hint="default" w:cs="Times New Roman"/>
                <w:color w:val="auto"/>
                <w:sz w:val="18"/>
                <w:szCs w:val="18"/>
                <w:highlight w:val="none"/>
                <w:lang w:val="en-US" w:eastAsia="zh-CN"/>
              </w:rPr>
              <w:t>2.5</w:t>
            </w:r>
          </w:p>
        </w:tc>
        <w:tc>
          <w:tcPr>
            <w:tcW w:w="100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34898≤S≤72705</w:t>
            </w:r>
          </w:p>
        </w:tc>
        <w:tc>
          <w:tcPr>
            <w:tcW w:w="55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eastAsia" w:cs="Times New Roman"/>
                <w:color w:val="auto"/>
                <w:kern w:val="0"/>
                <w:sz w:val="18"/>
                <w:szCs w:val="18"/>
                <w:highlight w:val="none"/>
                <w:lang w:val="en-US" w:eastAsia="zh-CN"/>
              </w:rPr>
              <w:t>按《规划设计条件告知书》要求配建</w:t>
            </w:r>
          </w:p>
        </w:tc>
        <w:tc>
          <w:tcPr>
            <w:tcW w:w="71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cs="Times New Roman"/>
                <w:b w:val="0"/>
                <w:bCs w:val="0"/>
                <w:color w:val="auto"/>
                <w:sz w:val="18"/>
                <w:szCs w:val="18"/>
                <w:highlight w:val="none"/>
                <w:vertAlign w:val="baseline"/>
                <w:lang w:val="en-US" w:eastAsia="zh-CN"/>
              </w:rPr>
              <w:t>50</w:t>
            </w:r>
          </w:p>
        </w:tc>
        <w:tc>
          <w:tcPr>
            <w:tcW w:w="71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3023</w:t>
            </w:r>
          </w:p>
        </w:tc>
        <w:tc>
          <w:tcPr>
            <w:tcW w:w="743"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cs="Times New Roman"/>
                <w:b w:val="0"/>
                <w:bCs w:val="0"/>
                <w:color w:val="auto"/>
                <w:sz w:val="18"/>
                <w:szCs w:val="18"/>
                <w:highlight w:val="none"/>
                <w:vertAlign w:val="baseline"/>
                <w:lang w:val="en-US" w:eastAsia="zh-CN"/>
              </w:rPr>
              <w:t>50</w:t>
            </w:r>
          </w:p>
        </w:tc>
        <w:tc>
          <w:tcPr>
            <w:tcW w:w="67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605</w:t>
            </w:r>
          </w:p>
        </w:tc>
        <w:tc>
          <w:tcPr>
            <w:tcW w:w="772"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202</w:t>
            </w:r>
            <w:r>
              <w:rPr>
                <w:rFonts w:hint="default"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年</w:t>
            </w:r>
            <w:r>
              <w:rPr>
                <w:rFonts w:hint="default"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20</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773"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cs="Times New Roman"/>
                <w:b w:val="0"/>
                <w:bCs w:val="0"/>
                <w:color w:val="auto"/>
                <w:sz w:val="18"/>
                <w:szCs w:val="18"/>
                <w:highlight w:val="none"/>
                <w:vertAlign w:val="baseline"/>
                <w:lang w:val="en-US" w:eastAsia="zh-CN"/>
              </w:rPr>
              <w:t>10030</w:t>
            </w:r>
            <w:r>
              <w:rPr>
                <w:rFonts w:hint="eastAsia" w:cs="Times New Roman"/>
                <w:b w:val="0"/>
                <w:bCs w:val="0"/>
                <w:color w:val="auto"/>
                <w:sz w:val="18"/>
                <w:szCs w:val="18"/>
                <w:highlight w:val="none"/>
                <w:vertAlign w:val="baseline"/>
                <w:lang w:val="en-US" w:eastAsia="zh-CN"/>
              </w:rPr>
              <w:t>元/㎡</w:t>
            </w:r>
          </w:p>
        </w:tc>
        <w:tc>
          <w:tcPr>
            <w:tcW w:w="123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锂二硫化铁、锂亚硫酰氯等新型锂原电池；锂离子电池、氢镍电池、新型结构（双极性、铅布水平、卷绕式、管式等）密封铅蓄电池、铅碳电池、超级电池、燃料电池、锂/氟化碳电池等新型电池和超级电容器。</w:t>
            </w:r>
          </w:p>
        </w:tc>
        <w:tc>
          <w:tcPr>
            <w:tcW w:w="10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color w:val="auto"/>
                <w:sz w:val="18"/>
                <w:szCs w:val="18"/>
                <w:highlight w:val="none"/>
              </w:rPr>
              <w:t>惠州仲恺高新技术产业开发区经济发展局</w:t>
            </w:r>
          </w:p>
        </w:tc>
        <w:tc>
          <w:tcPr>
            <w:tcW w:w="10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05</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0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color w:val="auto"/>
                <w:sz w:val="18"/>
                <w:szCs w:val="18"/>
                <w:highlight w:val="none"/>
              </w:rPr>
              <w:t>惠州仲恺高新区潼湖镇</w:t>
            </w:r>
          </w:p>
        </w:tc>
        <w:tc>
          <w:tcPr>
            <w:tcW w:w="56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color w:val="auto"/>
                <w:sz w:val="18"/>
                <w:szCs w:val="18"/>
                <w:highlight w:val="none"/>
              </w:rPr>
              <w:t>ZKD-006-38-01</w:t>
            </w:r>
          </w:p>
        </w:tc>
        <w:tc>
          <w:tcPr>
            <w:tcW w:w="732"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1146</w:t>
            </w:r>
            <w:r>
              <w:rPr>
                <w:rFonts w:hint="default" w:ascii="Times New Roman" w:hAnsi="Times New Roman" w:cs="Times New Roman"/>
                <w:color w:val="auto"/>
                <w:sz w:val="18"/>
                <w:szCs w:val="18"/>
                <w:highlight w:val="none"/>
                <w:lang w:val="en-US" w:eastAsia="zh-CN"/>
              </w:rPr>
              <w:t>（其中使用权面积为</w:t>
            </w:r>
            <w:r>
              <w:rPr>
                <w:rFonts w:hint="eastAsia" w:cs="Times New Roman"/>
                <w:color w:val="auto"/>
                <w:sz w:val="18"/>
                <w:szCs w:val="18"/>
                <w:highlight w:val="none"/>
                <w:lang w:val="en-US" w:eastAsia="zh-CN"/>
              </w:rPr>
              <w:t>766</w:t>
            </w:r>
            <w:r>
              <w:rPr>
                <w:rFonts w:hint="default" w:ascii="Times New Roman" w:hAnsi="Times New Roman" w:cs="Times New Roman"/>
                <w:color w:val="auto"/>
                <w:sz w:val="18"/>
                <w:szCs w:val="18"/>
                <w:highlight w:val="none"/>
                <w:lang w:val="en-US" w:eastAsia="zh-CN"/>
              </w:rPr>
              <w:t>㎡）</w:t>
            </w:r>
          </w:p>
        </w:tc>
        <w:tc>
          <w:tcPr>
            <w:tcW w:w="48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1146</w:t>
            </w:r>
          </w:p>
        </w:tc>
        <w:tc>
          <w:tcPr>
            <w:tcW w:w="75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2.5</w:t>
            </w:r>
            <w:r>
              <w:rPr>
                <w:rFonts w:hint="default" w:ascii="Times New Roman" w:hAnsi="Times New Roman" w:eastAsia="宋体" w:cs="Times New Roman"/>
                <w:color w:val="auto"/>
                <w:sz w:val="18"/>
                <w:szCs w:val="18"/>
                <w:highlight w:val="none"/>
                <w:lang w:val="en-US" w:eastAsia="zh-CN"/>
              </w:rPr>
              <w:t>≤R≤</w:t>
            </w:r>
            <w:r>
              <w:rPr>
                <w:rFonts w:hint="eastAsia"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.5</w:t>
            </w:r>
          </w:p>
        </w:tc>
        <w:tc>
          <w:tcPr>
            <w:tcW w:w="100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2865</w:t>
            </w:r>
            <w:r>
              <w:rPr>
                <w:rFonts w:hint="default" w:ascii="Times New Roman" w:hAnsi="Times New Roman" w:eastAsia="宋体" w:cs="Times New Roman"/>
                <w:color w:val="auto"/>
                <w:sz w:val="18"/>
                <w:szCs w:val="18"/>
                <w:highlight w:val="none"/>
                <w:lang w:val="en-US" w:eastAsia="zh-CN"/>
              </w:rPr>
              <w:t>≤S≤</w:t>
            </w:r>
            <w:r>
              <w:rPr>
                <w:rFonts w:hint="eastAsia" w:cs="Times New Roman"/>
                <w:color w:val="auto"/>
                <w:sz w:val="18"/>
                <w:szCs w:val="18"/>
                <w:highlight w:val="none"/>
                <w:lang w:val="en-US" w:eastAsia="zh-CN"/>
              </w:rPr>
              <w:t>4011</w:t>
            </w:r>
          </w:p>
        </w:tc>
        <w:tc>
          <w:tcPr>
            <w:tcW w:w="559"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eastAsia" w:cs="Times New Roman"/>
                <w:color w:val="auto"/>
                <w:kern w:val="0"/>
                <w:sz w:val="18"/>
                <w:szCs w:val="18"/>
                <w:highlight w:val="none"/>
                <w:lang w:val="en-US" w:eastAsia="zh-CN"/>
              </w:rPr>
              <w:t>按《规划设计条件告知书》要求配建</w:t>
            </w:r>
          </w:p>
        </w:tc>
        <w:tc>
          <w:tcPr>
            <w:tcW w:w="71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48</w:t>
            </w:r>
          </w:p>
        </w:tc>
        <w:tc>
          <w:tcPr>
            <w:tcW w:w="714"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130</w:t>
            </w:r>
          </w:p>
        </w:tc>
        <w:tc>
          <w:tcPr>
            <w:tcW w:w="743"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w:t>
            </w:r>
          </w:p>
        </w:tc>
        <w:tc>
          <w:tcPr>
            <w:tcW w:w="67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26</w:t>
            </w:r>
          </w:p>
        </w:tc>
        <w:tc>
          <w:tcPr>
            <w:tcW w:w="772"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color w:val="auto"/>
                <w:sz w:val="18"/>
                <w:szCs w:val="18"/>
                <w:highlight w:val="none"/>
              </w:rPr>
              <w:t>2023年2月</w:t>
            </w:r>
            <w:r>
              <w:rPr>
                <w:rFonts w:hint="eastAsia"/>
                <w:color w:val="auto"/>
                <w:sz w:val="18"/>
                <w:szCs w:val="18"/>
                <w:highlight w:val="none"/>
                <w:lang w:eastAsia="zh-CN"/>
              </w:rPr>
              <w:t>2</w:t>
            </w:r>
            <w:r>
              <w:rPr>
                <w:rFonts w:hint="eastAsia"/>
                <w:color w:val="auto"/>
                <w:sz w:val="18"/>
                <w:szCs w:val="18"/>
                <w:highlight w:val="none"/>
                <w:lang w:val="en-US" w:eastAsia="zh-CN"/>
              </w:rPr>
              <w:t>0</w:t>
            </w:r>
            <w:r>
              <w:rPr>
                <w:rFonts w:hint="default"/>
                <w:color w:val="auto"/>
                <w:sz w:val="18"/>
                <w:szCs w:val="18"/>
                <w:highlight w:val="none"/>
              </w:rPr>
              <w:t>日9时</w:t>
            </w:r>
          </w:p>
        </w:tc>
        <w:tc>
          <w:tcPr>
            <w:tcW w:w="773"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cs="Times New Roman"/>
                <w:b w:val="0"/>
                <w:bCs w:val="0"/>
                <w:color w:val="auto"/>
                <w:sz w:val="18"/>
                <w:szCs w:val="18"/>
                <w:highlight w:val="none"/>
                <w:vertAlign w:val="baseline"/>
                <w:lang w:val="en-US" w:eastAsia="zh-CN"/>
              </w:rPr>
              <w:t>9031</w:t>
            </w:r>
            <w:r>
              <w:rPr>
                <w:rFonts w:hint="default" w:ascii="Times New Roman" w:hAnsi="Times New Roman" w:eastAsia="宋体" w:cs="Times New Roman"/>
                <w:b w:val="0"/>
                <w:bCs w:val="0"/>
                <w:color w:val="auto"/>
                <w:sz w:val="18"/>
                <w:szCs w:val="18"/>
                <w:highlight w:val="none"/>
                <w:vertAlign w:val="baseline"/>
                <w:lang w:val="en-US" w:eastAsia="zh-CN"/>
              </w:rPr>
              <w:t>元/㎡</w:t>
            </w:r>
          </w:p>
        </w:tc>
        <w:tc>
          <w:tcPr>
            <w:tcW w:w="1230"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color w:val="auto"/>
                <w:sz w:val="18"/>
                <w:szCs w:val="18"/>
                <w:highlight w:val="none"/>
              </w:rPr>
              <w:t>开发区、产业集聚区配套公共服务平台建设与服务</w:t>
            </w:r>
          </w:p>
        </w:tc>
        <w:tc>
          <w:tcPr>
            <w:tcW w:w="10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Times New Roman"/>
                <w:b w:val="0"/>
                <w:bCs w:val="0"/>
                <w:color w:val="auto"/>
                <w:kern w:val="2"/>
                <w:sz w:val="18"/>
                <w:szCs w:val="18"/>
                <w:highlight w:val="none"/>
                <w:vertAlign w:val="baseline"/>
                <w:lang w:val="en-US" w:eastAsia="zh-CN" w:bidi="ar-SA"/>
              </w:rPr>
            </w:pPr>
            <w:r>
              <w:rPr>
                <w:rFonts w:hint="eastAsia"/>
                <w:color w:val="auto"/>
                <w:sz w:val="18"/>
                <w:szCs w:val="18"/>
                <w:highlight w:val="none"/>
                <w:lang w:val="en-US" w:eastAsia="zh-CN"/>
              </w:rPr>
              <w:t>/</w:t>
            </w:r>
          </w:p>
        </w:tc>
        <w:tc>
          <w:tcPr>
            <w:tcW w:w="1095" w:type="dxa"/>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行政办公及生活服务配套设施用地面积不得超过总用地面积的7%</w:t>
            </w:r>
          </w:p>
        </w:tc>
      </w:tr>
    </w:tbl>
    <w:p/>
    <w:sectPr>
      <w:pgSz w:w="16838" w:h="11906" w:orient="landscape"/>
      <w:pgMar w:top="1123" w:right="1440" w:bottom="112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D85874-2D41-41F8-AAB9-6F57507ABC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B81AC81-314F-4D59-B4A9-4E36B8877EBC}"/>
  </w:font>
  <w:font w:name="方正小标宋简体">
    <w:panose1 w:val="02000000000000000000"/>
    <w:charset w:val="86"/>
    <w:family w:val="auto"/>
    <w:pitch w:val="default"/>
    <w:sig w:usb0="00000001" w:usb1="08000000" w:usb2="00000000" w:usb3="00000000" w:csb0="00040000" w:csb1="00000000"/>
    <w:embedRegular r:id="rId3" w:fontKey="{E3F7F371-1F6D-4B90-9A8B-2D03B0A7E81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FE178"/>
    <w:multiLevelType w:val="singleLevel"/>
    <w:tmpl w:val="396FE17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TZlMzQ5OTgwNjAwZThiNTBiZTM0M2ZlMDEwZWEifQ=="/>
  </w:docVars>
  <w:rsids>
    <w:rsidRoot w:val="4D662110"/>
    <w:rsid w:val="02624152"/>
    <w:rsid w:val="047A778E"/>
    <w:rsid w:val="08962D0E"/>
    <w:rsid w:val="092E48AA"/>
    <w:rsid w:val="0BA1792C"/>
    <w:rsid w:val="120D798A"/>
    <w:rsid w:val="13255C09"/>
    <w:rsid w:val="13640989"/>
    <w:rsid w:val="14936383"/>
    <w:rsid w:val="19066338"/>
    <w:rsid w:val="1916216C"/>
    <w:rsid w:val="1A0456EB"/>
    <w:rsid w:val="1BF35718"/>
    <w:rsid w:val="1D37702F"/>
    <w:rsid w:val="1D5A220F"/>
    <w:rsid w:val="232C3731"/>
    <w:rsid w:val="239B39B4"/>
    <w:rsid w:val="244A448C"/>
    <w:rsid w:val="25F86B3A"/>
    <w:rsid w:val="27953EB3"/>
    <w:rsid w:val="30515DD5"/>
    <w:rsid w:val="31C16D66"/>
    <w:rsid w:val="32FD582A"/>
    <w:rsid w:val="340223B2"/>
    <w:rsid w:val="34D14651"/>
    <w:rsid w:val="36580EA8"/>
    <w:rsid w:val="38801F46"/>
    <w:rsid w:val="38A376EC"/>
    <w:rsid w:val="395F7922"/>
    <w:rsid w:val="39E869C3"/>
    <w:rsid w:val="3AA60379"/>
    <w:rsid w:val="3C0178D1"/>
    <w:rsid w:val="3E4D3FE7"/>
    <w:rsid w:val="40181843"/>
    <w:rsid w:val="438C0A54"/>
    <w:rsid w:val="44755126"/>
    <w:rsid w:val="48642B7D"/>
    <w:rsid w:val="4B3729B0"/>
    <w:rsid w:val="4D662110"/>
    <w:rsid w:val="51D86272"/>
    <w:rsid w:val="546B427E"/>
    <w:rsid w:val="562961DA"/>
    <w:rsid w:val="5A100576"/>
    <w:rsid w:val="5C2D6423"/>
    <w:rsid w:val="5C682FCC"/>
    <w:rsid w:val="5D897632"/>
    <w:rsid w:val="60425832"/>
    <w:rsid w:val="64EF55D2"/>
    <w:rsid w:val="68A8338A"/>
    <w:rsid w:val="69EE4FDB"/>
    <w:rsid w:val="6A8D5938"/>
    <w:rsid w:val="6C76570E"/>
    <w:rsid w:val="6D1A7C80"/>
    <w:rsid w:val="6E253E21"/>
    <w:rsid w:val="75470B71"/>
    <w:rsid w:val="75695C4F"/>
    <w:rsid w:val="76546D13"/>
    <w:rsid w:val="798967A3"/>
    <w:rsid w:val="79BE6D15"/>
    <w:rsid w:val="7AA6606F"/>
    <w:rsid w:val="7C0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_Style 1"/>
    <w:basedOn w:val="6"/>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6">
    <w:name w:val="正文 New New New New New New New New New New New New New New New New New New New New New New New New New New New New New New New"/>
    <w:next w:val="5"/>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9</Pages>
  <Words>3790</Words>
  <Characters>4226</Characters>
  <Lines>0</Lines>
  <Paragraphs>0</Paragraphs>
  <TotalTime>15</TotalTime>
  <ScaleCrop>false</ScaleCrop>
  <LinksUpToDate>false</LinksUpToDate>
  <CharactersWithSpaces>4261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✨亮亮✨</cp:lastModifiedBy>
  <cp:lastPrinted>2022-12-17T11:49:00Z</cp:lastPrinted>
  <dcterms:modified xsi:type="dcterms:W3CDTF">2023-01-13T09:20:28Z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1337FCB8A42F46F0866351BF1AAAA39A</vt:lpwstr>
  </property>
</Properties>
</file>